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61003" w14:textId="77777777" w:rsidR="001A2B0A" w:rsidRPr="00370980" w:rsidRDefault="001A2B0A" w:rsidP="00C076AD">
      <w:pPr>
        <w:pStyle w:val="Ttulo1"/>
        <w:spacing w:line="360" w:lineRule="auto"/>
        <w:jc w:val="left"/>
        <w:rPr>
          <w:b w:val="0"/>
          <w:i/>
          <w:sz w:val="28"/>
          <w:szCs w:val="28"/>
        </w:rPr>
      </w:pPr>
      <w:r w:rsidRPr="00370980">
        <w:rPr>
          <w:b w:val="0"/>
          <w:i/>
          <w:sz w:val="28"/>
          <w:szCs w:val="28"/>
        </w:rPr>
        <w:t>PROCURADORIA GERAL DA CÂMARA MUNICIPAL DE CONTAGEM</w:t>
      </w:r>
    </w:p>
    <w:p w14:paraId="2E91240C" w14:textId="77777777" w:rsidR="00A47685" w:rsidRDefault="00A47685" w:rsidP="00C076AD">
      <w:pPr>
        <w:spacing w:line="360" w:lineRule="auto"/>
        <w:jc w:val="both"/>
      </w:pPr>
    </w:p>
    <w:p w14:paraId="1120BBDA" w14:textId="77777777" w:rsidR="00A47685" w:rsidRDefault="00A47685" w:rsidP="00C076AD">
      <w:pPr>
        <w:spacing w:line="360" w:lineRule="auto"/>
        <w:jc w:val="both"/>
      </w:pPr>
    </w:p>
    <w:p w14:paraId="2FD3455B" w14:textId="750587BE" w:rsidR="001A2B0A" w:rsidRPr="003E7C6B" w:rsidRDefault="001A2B0A" w:rsidP="00C076AD">
      <w:pPr>
        <w:spacing w:line="360" w:lineRule="auto"/>
        <w:jc w:val="both"/>
        <w:rPr>
          <w:b/>
          <w:sz w:val="26"/>
          <w:lang w:val="es-ES_tradnl"/>
        </w:rPr>
      </w:pPr>
      <w:r w:rsidRPr="003E7C6B">
        <w:rPr>
          <w:b/>
          <w:sz w:val="26"/>
          <w:lang w:val="es-ES_tradnl"/>
        </w:rPr>
        <w:t>PJ/PG.</w:t>
      </w:r>
      <w:r w:rsidR="00452701">
        <w:rPr>
          <w:b/>
          <w:sz w:val="26"/>
          <w:lang w:val="es-ES_tradnl"/>
        </w:rPr>
        <w:t xml:space="preserve"> </w:t>
      </w:r>
      <w:r w:rsidRPr="003E7C6B">
        <w:rPr>
          <w:b/>
          <w:sz w:val="26"/>
          <w:lang w:val="es-ES_tradnl"/>
        </w:rPr>
        <w:t xml:space="preserve">Nº </w:t>
      </w:r>
      <w:r w:rsidR="00AB4E01">
        <w:rPr>
          <w:b/>
          <w:sz w:val="26"/>
          <w:lang w:val="es-ES_tradnl"/>
        </w:rPr>
        <w:t>1</w:t>
      </w:r>
      <w:r w:rsidR="008C0600">
        <w:rPr>
          <w:b/>
          <w:sz w:val="26"/>
          <w:lang w:val="es-ES_tradnl"/>
        </w:rPr>
        <w:t>69</w:t>
      </w:r>
      <w:r w:rsidRPr="003E7C6B">
        <w:rPr>
          <w:b/>
          <w:sz w:val="26"/>
          <w:lang w:val="es-ES_tradnl"/>
        </w:rPr>
        <w:t>/20</w:t>
      </w:r>
      <w:r w:rsidR="008C0600">
        <w:rPr>
          <w:b/>
          <w:sz w:val="26"/>
          <w:lang w:val="es-ES_tradnl"/>
        </w:rPr>
        <w:t>22</w:t>
      </w:r>
    </w:p>
    <w:p w14:paraId="57187F83" w14:textId="77777777" w:rsidR="00720388" w:rsidRDefault="00720388" w:rsidP="00C076AD">
      <w:pPr>
        <w:spacing w:line="360" w:lineRule="auto"/>
        <w:jc w:val="both"/>
        <w:rPr>
          <w:lang w:val="es-ES_tradnl"/>
        </w:rPr>
      </w:pPr>
    </w:p>
    <w:p w14:paraId="61E09B0E" w14:textId="77777777" w:rsidR="00C076AD" w:rsidRDefault="00C076AD" w:rsidP="00C076AD">
      <w:pPr>
        <w:spacing w:line="360" w:lineRule="auto"/>
        <w:jc w:val="both"/>
        <w:rPr>
          <w:b/>
          <w:sz w:val="26"/>
        </w:rPr>
      </w:pPr>
    </w:p>
    <w:p w14:paraId="00A95975" w14:textId="77777777" w:rsidR="001A2B0A" w:rsidRPr="003E7C6B" w:rsidRDefault="001A2B0A" w:rsidP="00C076AD">
      <w:pPr>
        <w:spacing w:line="360" w:lineRule="auto"/>
        <w:jc w:val="both"/>
        <w:rPr>
          <w:b/>
          <w:sz w:val="26"/>
        </w:rPr>
      </w:pPr>
      <w:r w:rsidRPr="003E7C6B">
        <w:rPr>
          <w:b/>
          <w:sz w:val="26"/>
        </w:rPr>
        <w:t>Do: Procurador Geral</w:t>
      </w:r>
    </w:p>
    <w:p w14:paraId="7BD98A28" w14:textId="77777777" w:rsidR="001A2B0A" w:rsidRPr="003E7C6B" w:rsidRDefault="001A2B0A" w:rsidP="00C076AD">
      <w:pPr>
        <w:spacing w:line="360" w:lineRule="auto"/>
        <w:jc w:val="both"/>
        <w:rPr>
          <w:b/>
          <w:sz w:val="26"/>
        </w:rPr>
      </w:pPr>
      <w:r w:rsidRPr="003E7C6B">
        <w:rPr>
          <w:b/>
          <w:sz w:val="26"/>
        </w:rPr>
        <w:t xml:space="preserve">Ao Exmo. Sr. Presidente da Câmara Municipal de Contagem-MG </w:t>
      </w:r>
    </w:p>
    <w:p w14:paraId="63962AA0" w14:textId="77777777" w:rsidR="001A2B0A" w:rsidRDefault="001A2B0A" w:rsidP="00C076AD">
      <w:pPr>
        <w:spacing w:line="360" w:lineRule="auto"/>
        <w:jc w:val="both"/>
        <w:rPr>
          <w:sz w:val="24"/>
        </w:rPr>
      </w:pPr>
    </w:p>
    <w:p w14:paraId="12EE1884" w14:textId="77777777" w:rsidR="00A47685" w:rsidRPr="003E7C6B" w:rsidRDefault="00A47685" w:rsidP="00C076AD">
      <w:pPr>
        <w:spacing w:line="360" w:lineRule="auto"/>
        <w:jc w:val="both"/>
        <w:rPr>
          <w:sz w:val="24"/>
        </w:rPr>
      </w:pPr>
    </w:p>
    <w:p w14:paraId="532F3201" w14:textId="77777777" w:rsidR="001A2B0A" w:rsidRPr="003E7C6B" w:rsidRDefault="001A2B0A" w:rsidP="00C076AD">
      <w:pPr>
        <w:spacing w:line="360" w:lineRule="auto"/>
        <w:rPr>
          <w:sz w:val="24"/>
        </w:rPr>
      </w:pPr>
      <w:r w:rsidRPr="00370980">
        <w:rPr>
          <w:i/>
          <w:sz w:val="24"/>
        </w:rPr>
        <w:t>Senhor Presidente</w:t>
      </w:r>
      <w:r w:rsidRPr="003E7C6B">
        <w:rPr>
          <w:sz w:val="24"/>
        </w:rPr>
        <w:t>:</w:t>
      </w:r>
    </w:p>
    <w:p w14:paraId="549E3717" w14:textId="77777777" w:rsidR="00720388" w:rsidRPr="003E7C6B" w:rsidRDefault="00720388" w:rsidP="00C076AD">
      <w:pPr>
        <w:spacing w:line="360" w:lineRule="auto"/>
        <w:rPr>
          <w:sz w:val="24"/>
        </w:rPr>
      </w:pPr>
    </w:p>
    <w:p w14:paraId="54B44851" w14:textId="26BFA916" w:rsidR="001A2B0A" w:rsidRPr="00DA4BFB" w:rsidRDefault="001A2B0A" w:rsidP="00DA4BFB">
      <w:pPr>
        <w:pStyle w:val="Recuodecorpodetexto"/>
        <w:ind w:left="1701" w:right="618" w:firstLine="0"/>
        <w:rPr>
          <w:i/>
          <w:sz w:val="24"/>
          <w:szCs w:val="24"/>
        </w:rPr>
      </w:pPr>
      <w:r w:rsidRPr="00DA4BFB">
        <w:rPr>
          <w:i/>
          <w:sz w:val="24"/>
          <w:szCs w:val="24"/>
        </w:rPr>
        <w:t xml:space="preserve">Instados a emitir parecer sobre o Projeto de Lei Complementar nº </w:t>
      </w:r>
      <w:r w:rsidR="00452701" w:rsidRPr="00DA4BFB">
        <w:rPr>
          <w:i/>
          <w:sz w:val="24"/>
          <w:szCs w:val="24"/>
        </w:rPr>
        <w:t>0</w:t>
      </w:r>
      <w:r w:rsidR="00676422" w:rsidRPr="00DA4BFB">
        <w:rPr>
          <w:i/>
          <w:sz w:val="24"/>
          <w:szCs w:val="24"/>
        </w:rPr>
        <w:t>20</w:t>
      </w:r>
      <w:r w:rsidR="005D57E5" w:rsidRPr="00DA4BFB">
        <w:rPr>
          <w:i/>
          <w:sz w:val="24"/>
          <w:szCs w:val="24"/>
        </w:rPr>
        <w:t xml:space="preserve">, de </w:t>
      </w:r>
      <w:r w:rsidR="00676422" w:rsidRPr="00DA4BFB">
        <w:rPr>
          <w:i/>
          <w:sz w:val="24"/>
          <w:szCs w:val="24"/>
        </w:rPr>
        <w:t>01</w:t>
      </w:r>
      <w:r w:rsidR="005D57E5" w:rsidRPr="00DA4BFB">
        <w:rPr>
          <w:i/>
          <w:sz w:val="24"/>
          <w:szCs w:val="24"/>
        </w:rPr>
        <w:t xml:space="preserve"> de </w:t>
      </w:r>
      <w:r w:rsidR="00676422" w:rsidRPr="00DA4BFB">
        <w:rPr>
          <w:i/>
          <w:sz w:val="24"/>
          <w:szCs w:val="24"/>
        </w:rPr>
        <w:t>julho</w:t>
      </w:r>
      <w:r w:rsidR="005D57E5" w:rsidRPr="00DA4BFB">
        <w:rPr>
          <w:i/>
          <w:sz w:val="24"/>
          <w:szCs w:val="24"/>
        </w:rPr>
        <w:t xml:space="preserve"> de 20</w:t>
      </w:r>
      <w:r w:rsidR="00676422" w:rsidRPr="00DA4BFB">
        <w:rPr>
          <w:i/>
          <w:sz w:val="24"/>
          <w:szCs w:val="24"/>
        </w:rPr>
        <w:t>22</w:t>
      </w:r>
      <w:r w:rsidRPr="00DA4BFB">
        <w:rPr>
          <w:i/>
          <w:sz w:val="24"/>
          <w:szCs w:val="24"/>
        </w:rPr>
        <w:t>, de autoria do Poder Executivo, que "</w:t>
      </w:r>
      <w:r w:rsidR="00676422" w:rsidRPr="00DA4BFB">
        <w:rPr>
          <w:i/>
          <w:sz w:val="24"/>
          <w:szCs w:val="24"/>
        </w:rPr>
        <w:t>Dispõe sobre a concessão temporária de isenção do Imposto Sobre Serviços de Qualquer Natureza – ISSQN – para o serviço de transporte público urbano de passageiros prestado sob o regime de concessão ou permissão do poder público com itinerário fixo, inserido no subitem 16.01.02 da Lista de Serviços que integra a Tabela I do Anexo II-A da Lei nº 1.611, de 30 de dezembro de 1983</w:t>
      </w:r>
      <w:r w:rsidRPr="00DA4BFB">
        <w:rPr>
          <w:i/>
          <w:sz w:val="24"/>
          <w:szCs w:val="24"/>
        </w:rPr>
        <w:t xml:space="preserve">”, cumpre-nos manifestar: </w:t>
      </w:r>
    </w:p>
    <w:p w14:paraId="234738E6" w14:textId="77777777" w:rsidR="00A47685" w:rsidRDefault="00A47685" w:rsidP="00C076AD">
      <w:pPr>
        <w:spacing w:line="360" w:lineRule="auto"/>
        <w:jc w:val="both"/>
        <w:rPr>
          <w:sz w:val="24"/>
        </w:rPr>
      </w:pPr>
    </w:p>
    <w:p w14:paraId="7E5E917D" w14:textId="5EB0EE56" w:rsidR="005D57E5" w:rsidRPr="00EB26CE" w:rsidRDefault="001A2B0A" w:rsidP="00EB26CE">
      <w:pPr>
        <w:ind w:firstLine="708"/>
        <w:jc w:val="both"/>
        <w:rPr>
          <w:iCs/>
          <w:sz w:val="24"/>
        </w:rPr>
      </w:pPr>
      <w:r w:rsidRPr="008B5EC3">
        <w:rPr>
          <w:sz w:val="24"/>
        </w:rPr>
        <w:t xml:space="preserve">Trata-se de Projeto de Lei </w:t>
      </w:r>
      <w:r>
        <w:rPr>
          <w:sz w:val="24"/>
        </w:rPr>
        <w:t xml:space="preserve">Complementar </w:t>
      </w:r>
      <w:r w:rsidRPr="008B5EC3">
        <w:rPr>
          <w:sz w:val="24"/>
        </w:rPr>
        <w:t xml:space="preserve">de autoria do Poder Executivo </w:t>
      </w:r>
      <w:r w:rsidR="00F9765B">
        <w:rPr>
          <w:sz w:val="24"/>
        </w:rPr>
        <w:t xml:space="preserve">que </w:t>
      </w:r>
      <w:r w:rsidR="006B4C25">
        <w:rPr>
          <w:sz w:val="24"/>
        </w:rPr>
        <w:t xml:space="preserve">tem por objetivo </w:t>
      </w:r>
      <w:r w:rsidR="00EB26CE">
        <w:rPr>
          <w:sz w:val="24"/>
        </w:rPr>
        <w:t xml:space="preserve">dispor </w:t>
      </w:r>
      <w:r w:rsidR="00EB26CE" w:rsidRPr="00EB26CE">
        <w:rPr>
          <w:iCs/>
          <w:sz w:val="24"/>
          <w:szCs w:val="24"/>
        </w:rPr>
        <w:t>sobre a concessão temporária de isenção do Imposto Sobre Serviços de Qualquer Natureza – ISSQN – para o serviço de transporte público urbano de passageiros prestado sob o regime de concessão ou permissão do poder público com itinerário fixo, inserido no subitem 16.01.02 da Lista de Serviços que integra a Tabela I do Anexo II-A da Lei nº 1.611, de 30 de dezembro de 1983</w:t>
      </w:r>
      <w:r w:rsidR="005D57E5" w:rsidRPr="00EB26CE">
        <w:rPr>
          <w:iCs/>
          <w:sz w:val="24"/>
        </w:rPr>
        <w:t>.</w:t>
      </w:r>
    </w:p>
    <w:p w14:paraId="5A305482" w14:textId="77777777" w:rsidR="00494911" w:rsidRDefault="00494911" w:rsidP="00494911">
      <w:pPr>
        <w:jc w:val="both"/>
        <w:rPr>
          <w:sz w:val="24"/>
        </w:rPr>
      </w:pPr>
    </w:p>
    <w:p w14:paraId="008761C4" w14:textId="4882F3A2" w:rsidR="001A2B0A" w:rsidRDefault="001A2B0A" w:rsidP="00EB26CE">
      <w:pPr>
        <w:ind w:firstLine="708"/>
        <w:jc w:val="both"/>
        <w:rPr>
          <w:sz w:val="24"/>
        </w:rPr>
      </w:pPr>
      <w:r w:rsidRPr="008B5EC3">
        <w:rPr>
          <w:sz w:val="24"/>
        </w:rPr>
        <w:t xml:space="preserve">Cumpre-nos ressaltar, </w:t>
      </w:r>
      <w:r w:rsidRPr="008C5A49">
        <w:rPr>
          <w:i/>
          <w:sz w:val="24"/>
        </w:rPr>
        <w:t>ab initio</w:t>
      </w:r>
      <w:r w:rsidRPr="008C5A49">
        <w:rPr>
          <w:sz w:val="24"/>
        </w:rPr>
        <w:t>,</w:t>
      </w:r>
      <w:r w:rsidRPr="008B5EC3">
        <w:rPr>
          <w:sz w:val="24"/>
        </w:rPr>
        <w:t xml:space="preserve"> que o Projeto apresentado </w:t>
      </w:r>
      <w:r>
        <w:rPr>
          <w:sz w:val="24"/>
        </w:rPr>
        <w:t xml:space="preserve">enquadra-se nas matérias de competência do </w:t>
      </w:r>
      <w:r w:rsidR="00021E87">
        <w:rPr>
          <w:sz w:val="24"/>
        </w:rPr>
        <w:t>Município</w:t>
      </w:r>
      <w:r>
        <w:rPr>
          <w:sz w:val="24"/>
        </w:rPr>
        <w:t>, nos termos do inciso IX</w:t>
      </w:r>
      <w:r w:rsidR="004F1DB5">
        <w:rPr>
          <w:sz w:val="24"/>
        </w:rPr>
        <w:t xml:space="preserve"> e XVII</w:t>
      </w:r>
      <w:r>
        <w:rPr>
          <w:sz w:val="24"/>
        </w:rPr>
        <w:t>, do art. 6º, da Lei Orgânica de Contagem:</w:t>
      </w:r>
      <w:r w:rsidRPr="008B5EC3">
        <w:rPr>
          <w:sz w:val="24"/>
        </w:rPr>
        <w:t xml:space="preserve"> </w:t>
      </w:r>
    </w:p>
    <w:p w14:paraId="64BE4855" w14:textId="77777777" w:rsidR="00A47685" w:rsidRDefault="00A47685" w:rsidP="00EB26CE">
      <w:pPr>
        <w:ind w:firstLine="708"/>
        <w:jc w:val="both"/>
        <w:rPr>
          <w:sz w:val="24"/>
        </w:rPr>
      </w:pPr>
    </w:p>
    <w:p w14:paraId="72E9E48E" w14:textId="77777777" w:rsidR="001A2B0A" w:rsidRDefault="00392EEC" w:rsidP="00EB26CE">
      <w:pPr>
        <w:ind w:left="1134" w:right="1133"/>
        <w:jc w:val="both"/>
        <w:rPr>
          <w:i/>
          <w:sz w:val="24"/>
        </w:rPr>
      </w:pPr>
      <w:r>
        <w:rPr>
          <w:i/>
          <w:sz w:val="24"/>
        </w:rPr>
        <w:t>“</w:t>
      </w:r>
      <w:r w:rsidR="001A2B0A" w:rsidRPr="00BF042F">
        <w:rPr>
          <w:i/>
          <w:sz w:val="24"/>
        </w:rPr>
        <w:t>Art. 6º - Ao Município compete prover a tudo quanto diga respeito ao seu peculiar interesse e ao bem-estar de sua população, cabendo-lhe, privativamente, dentre outras, as seguintes atribuições:</w:t>
      </w:r>
    </w:p>
    <w:p w14:paraId="11F214AC" w14:textId="77777777" w:rsidR="001A2B0A" w:rsidRPr="00BF042F" w:rsidRDefault="001A2B0A" w:rsidP="00EB26CE">
      <w:pPr>
        <w:ind w:left="1134" w:right="1133"/>
        <w:jc w:val="both"/>
        <w:rPr>
          <w:i/>
          <w:sz w:val="24"/>
        </w:rPr>
      </w:pPr>
      <w:r>
        <w:rPr>
          <w:i/>
          <w:sz w:val="24"/>
        </w:rPr>
        <w:t>(...)</w:t>
      </w:r>
    </w:p>
    <w:p w14:paraId="0F0FD258" w14:textId="77777777" w:rsidR="001A2B0A" w:rsidRDefault="001A2B0A" w:rsidP="00EB26CE">
      <w:pPr>
        <w:ind w:left="1134" w:right="1133"/>
        <w:jc w:val="both"/>
        <w:rPr>
          <w:i/>
          <w:sz w:val="24"/>
        </w:rPr>
      </w:pPr>
      <w:r w:rsidRPr="00BF042F">
        <w:rPr>
          <w:i/>
          <w:sz w:val="24"/>
        </w:rPr>
        <w:lastRenderedPageBreak/>
        <w:t>IX – instituir e arrecadar tributos de sua competência, fixar e cobrar preços, bem como aplicar suas rendas, sem prejuízo da obrigatoriedade de prestar contas e publicar balancetes nos prazos fixados em lei;</w:t>
      </w:r>
    </w:p>
    <w:p w14:paraId="6D0534DC" w14:textId="77777777" w:rsidR="002572AB" w:rsidRPr="00BF042F" w:rsidRDefault="002572AB" w:rsidP="00EB26CE">
      <w:pPr>
        <w:ind w:left="1134" w:right="1133"/>
        <w:jc w:val="both"/>
        <w:rPr>
          <w:i/>
          <w:sz w:val="24"/>
        </w:rPr>
      </w:pPr>
      <w:r>
        <w:rPr>
          <w:i/>
          <w:sz w:val="24"/>
        </w:rPr>
        <w:t>(...)</w:t>
      </w:r>
    </w:p>
    <w:p w14:paraId="7BC9D348" w14:textId="77777777" w:rsidR="002572AB" w:rsidRDefault="002572AB" w:rsidP="00EB26CE">
      <w:pPr>
        <w:ind w:left="1134" w:right="1133"/>
        <w:jc w:val="both"/>
        <w:rPr>
          <w:i/>
          <w:sz w:val="24"/>
        </w:rPr>
      </w:pPr>
      <w:r w:rsidRPr="002572AB">
        <w:rPr>
          <w:i/>
          <w:sz w:val="24"/>
        </w:rPr>
        <w:t>XVII - dispor sobre a organização dos serviços administrativos; </w:t>
      </w:r>
    </w:p>
    <w:p w14:paraId="08BB58A3" w14:textId="77777777" w:rsidR="001A2B0A" w:rsidRPr="006A1943" w:rsidRDefault="002572AB" w:rsidP="00EB26CE">
      <w:pPr>
        <w:ind w:left="1134" w:right="1133"/>
        <w:jc w:val="both"/>
        <w:rPr>
          <w:i/>
          <w:sz w:val="24"/>
        </w:rPr>
      </w:pPr>
      <w:r>
        <w:rPr>
          <w:i/>
          <w:sz w:val="24"/>
        </w:rPr>
        <w:t>(..</w:t>
      </w:r>
      <w:r w:rsidR="00392EEC">
        <w:rPr>
          <w:i/>
          <w:sz w:val="24"/>
        </w:rPr>
        <w:t>.</w:t>
      </w:r>
      <w:r>
        <w:rPr>
          <w:i/>
          <w:sz w:val="24"/>
        </w:rPr>
        <w:t>)</w:t>
      </w:r>
      <w:r w:rsidR="00392EEC">
        <w:rPr>
          <w:i/>
          <w:sz w:val="24"/>
        </w:rPr>
        <w:t>”</w:t>
      </w:r>
      <w:r w:rsidR="00C076AD">
        <w:rPr>
          <w:i/>
          <w:sz w:val="24"/>
        </w:rPr>
        <w:t>.</w:t>
      </w:r>
    </w:p>
    <w:p w14:paraId="164412D9" w14:textId="77777777" w:rsidR="00720388" w:rsidRDefault="00720388" w:rsidP="00EB26CE">
      <w:pPr>
        <w:ind w:firstLine="708"/>
        <w:jc w:val="both"/>
        <w:rPr>
          <w:sz w:val="24"/>
        </w:rPr>
      </w:pPr>
    </w:p>
    <w:p w14:paraId="4C93DA0F" w14:textId="7A8EB393" w:rsidR="001A2B0A" w:rsidRPr="00720388" w:rsidRDefault="001A2B0A" w:rsidP="00EB26CE">
      <w:pPr>
        <w:ind w:firstLine="708"/>
        <w:jc w:val="both"/>
        <w:rPr>
          <w:i/>
          <w:sz w:val="24"/>
        </w:rPr>
      </w:pPr>
      <w:r>
        <w:rPr>
          <w:sz w:val="24"/>
        </w:rPr>
        <w:t>No mesmo sentido, destaca-se que o Projeto de Lei</w:t>
      </w:r>
      <w:r w:rsidR="002572AB">
        <w:rPr>
          <w:sz w:val="24"/>
        </w:rPr>
        <w:t xml:space="preserve"> Complementar</w:t>
      </w:r>
      <w:r>
        <w:rPr>
          <w:sz w:val="24"/>
        </w:rPr>
        <w:t xml:space="preserve"> em epígrafe, pelo disposto nos incisos V</w:t>
      </w:r>
      <w:r w:rsidR="004F1DB5">
        <w:rPr>
          <w:sz w:val="24"/>
        </w:rPr>
        <w:t>, XII</w:t>
      </w:r>
      <w:r>
        <w:rPr>
          <w:sz w:val="24"/>
        </w:rPr>
        <w:t xml:space="preserve"> e XV, do art. 92 da Lei Orgânica Municipal, inclui-se no rol de atribuições do Poder Executivo, </w:t>
      </w:r>
      <w:r w:rsidRPr="00370980">
        <w:rPr>
          <w:i/>
          <w:sz w:val="24"/>
        </w:rPr>
        <w:t>in verbis:</w:t>
      </w:r>
    </w:p>
    <w:p w14:paraId="5F215960" w14:textId="77777777" w:rsidR="00720388" w:rsidRDefault="00720388" w:rsidP="00EB26CE">
      <w:pPr>
        <w:ind w:left="1134" w:right="1133"/>
        <w:jc w:val="both"/>
        <w:rPr>
          <w:i/>
          <w:sz w:val="24"/>
        </w:rPr>
      </w:pPr>
    </w:p>
    <w:p w14:paraId="1D6E8F3E" w14:textId="77777777" w:rsidR="001A2B0A" w:rsidRPr="00F6124E" w:rsidRDefault="001A2B0A" w:rsidP="00EB26CE">
      <w:pPr>
        <w:ind w:left="1134" w:right="1133"/>
        <w:jc w:val="both"/>
        <w:rPr>
          <w:i/>
          <w:sz w:val="24"/>
        </w:rPr>
      </w:pPr>
      <w:r w:rsidRPr="00F6124E">
        <w:rPr>
          <w:i/>
          <w:sz w:val="24"/>
        </w:rPr>
        <w:t>“Art. 92 – Compete privativamente ao Prefeito:</w:t>
      </w:r>
    </w:p>
    <w:p w14:paraId="357A0F6C" w14:textId="77777777" w:rsidR="001A2B0A" w:rsidRPr="00F6124E" w:rsidRDefault="001A2B0A" w:rsidP="00EB26CE">
      <w:pPr>
        <w:ind w:left="1134" w:right="1133"/>
        <w:jc w:val="both"/>
        <w:rPr>
          <w:i/>
          <w:sz w:val="24"/>
        </w:rPr>
      </w:pPr>
      <w:r w:rsidRPr="00F6124E">
        <w:rPr>
          <w:i/>
          <w:sz w:val="24"/>
        </w:rPr>
        <w:t>(...)</w:t>
      </w:r>
    </w:p>
    <w:p w14:paraId="26AE6A2B" w14:textId="77777777" w:rsidR="001A2B0A" w:rsidRPr="00F6124E" w:rsidRDefault="001A2B0A" w:rsidP="00EB26CE">
      <w:pPr>
        <w:ind w:left="1134" w:right="1133"/>
        <w:jc w:val="both"/>
        <w:rPr>
          <w:i/>
          <w:sz w:val="24"/>
        </w:rPr>
      </w:pPr>
      <w:r w:rsidRPr="00F6124E">
        <w:rPr>
          <w:i/>
          <w:sz w:val="24"/>
        </w:rPr>
        <w:t>V – iniciar o processo legislativo na forma dos casos previstos nesta Lei Orgânica;</w:t>
      </w:r>
    </w:p>
    <w:p w14:paraId="0C2BB57D" w14:textId="77777777" w:rsidR="001A2B0A" w:rsidRPr="00F6124E" w:rsidRDefault="001A2B0A" w:rsidP="00EB26CE">
      <w:pPr>
        <w:ind w:left="1134" w:right="1133"/>
        <w:jc w:val="both"/>
        <w:rPr>
          <w:i/>
          <w:sz w:val="24"/>
        </w:rPr>
      </w:pPr>
      <w:r w:rsidRPr="00F6124E">
        <w:rPr>
          <w:i/>
          <w:sz w:val="24"/>
        </w:rPr>
        <w:t>(...)</w:t>
      </w:r>
    </w:p>
    <w:p w14:paraId="03DE22ED" w14:textId="77777777" w:rsidR="001A2B0A" w:rsidRPr="002572AB" w:rsidRDefault="002572AB" w:rsidP="00EB26CE">
      <w:pPr>
        <w:ind w:left="1134" w:right="1133"/>
        <w:jc w:val="both"/>
        <w:rPr>
          <w:i/>
          <w:sz w:val="24"/>
        </w:rPr>
      </w:pPr>
      <w:r w:rsidRPr="002572AB">
        <w:rPr>
          <w:i/>
          <w:sz w:val="24"/>
        </w:rPr>
        <w:t>XII - dispor, na forma da lei, sobre a organização e a atividade do Poder Executivo;</w:t>
      </w:r>
    </w:p>
    <w:p w14:paraId="7BEE9F82" w14:textId="77777777" w:rsidR="002572AB" w:rsidRPr="00F6124E" w:rsidRDefault="002572AB" w:rsidP="00EB26CE">
      <w:pPr>
        <w:ind w:left="1134" w:right="1133"/>
        <w:jc w:val="both"/>
        <w:rPr>
          <w:i/>
          <w:sz w:val="24"/>
        </w:rPr>
      </w:pPr>
      <w:r w:rsidRPr="00F6124E">
        <w:rPr>
          <w:i/>
          <w:sz w:val="24"/>
        </w:rPr>
        <w:t>(...)</w:t>
      </w:r>
    </w:p>
    <w:p w14:paraId="0C6A2E06" w14:textId="77777777" w:rsidR="001A2B0A" w:rsidRPr="00F6124E" w:rsidRDefault="001A2B0A" w:rsidP="00EB26CE">
      <w:pPr>
        <w:ind w:left="1134" w:right="1133"/>
        <w:jc w:val="both"/>
        <w:rPr>
          <w:i/>
          <w:sz w:val="24"/>
        </w:rPr>
      </w:pPr>
      <w:r w:rsidRPr="00F6124E">
        <w:rPr>
          <w:i/>
          <w:sz w:val="24"/>
        </w:rPr>
        <w:t>XV – administrar os bens e as rendas municipais, promover o lançamento, a fiscalização e a arrecadação de tributos</w:t>
      </w:r>
      <w:r w:rsidR="00392EEC" w:rsidRPr="00F6124E">
        <w:rPr>
          <w:i/>
          <w:sz w:val="24"/>
        </w:rPr>
        <w:t>;</w:t>
      </w:r>
    </w:p>
    <w:p w14:paraId="60744FF4" w14:textId="77777777" w:rsidR="001A2B0A" w:rsidRPr="00F6124E" w:rsidRDefault="005D141E" w:rsidP="00EB26CE">
      <w:pPr>
        <w:ind w:left="1134" w:right="1133"/>
        <w:jc w:val="both"/>
        <w:rPr>
          <w:i/>
          <w:sz w:val="24"/>
        </w:rPr>
      </w:pPr>
      <w:r>
        <w:rPr>
          <w:i/>
          <w:sz w:val="24"/>
        </w:rPr>
        <w:t>(...)”</w:t>
      </w:r>
    </w:p>
    <w:p w14:paraId="692C312F" w14:textId="77777777" w:rsidR="001A2B0A" w:rsidRDefault="001A2B0A" w:rsidP="00EB26CE">
      <w:pPr>
        <w:jc w:val="both"/>
        <w:rPr>
          <w:sz w:val="24"/>
        </w:rPr>
      </w:pPr>
    </w:p>
    <w:p w14:paraId="5F67C757" w14:textId="6F16D2E1" w:rsidR="001A2B0A" w:rsidRDefault="00C241AD" w:rsidP="00EB26CE">
      <w:pPr>
        <w:ind w:firstLine="708"/>
        <w:jc w:val="both"/>
        <w:rPr>
          <w:sz w:val="24"/>
        </w:rPr>
      </w:pPr>
      <w:r>
        <w:rPr>
          <w:sz w:val="24"/>
        </w:rPr>
        <w:t>Vê-se, pois, que</w:t>
      </w:r>
      <w:r w:rsidR="001A2B0A">
        <w:rPr>
          <w:sz w:val="24"/>
        </w:rPr>
        <w:t xml:space="preserve"> é indiscutível a competência do Poder Executivo para </w:t>
      </w:r>
      <w:r w:rsidR="004F1DB5">
        <w:rPr>
          <w:sz w:val="24"/>
        </w:rPr>
        <w:t>a proposição em análise</w:t>
      </w:r>
      <w:r w:rsidR="001A2B0A">
        <w:rPr>
          <w:sz w:val="24"/>
        </w:rPr>
        <w:t>.</w:t>
      </w:r>
    </w:p>
    <w:p w14:paraId="7860D2A9" w14:textId="357E9A27" w:rsidR="00494911" w:rsidRDefault="00494911" w:rsidP="00EB26CE">
      <w:pPr>
        <w:ind w:firstLine="708"/>
        <w:jc w:val="both"/>
        <w:rPr>
          <w:sz w:val="24"/>
        </w:rPr>
      </w:pPr>
    </w:p>
    <w:p w14:paraId="1BB8FFA7" w14:textId="3DD58F28" w:rsidR="00494911" w:rsidRDefault="00494911" w:rsidP="00494911">
      <w:pPr>
        <w:pStyle w:val="NormalWeb"/>
        <w:spacing w:before="0" w:beforeAutospacing="0" w:after="0" w:afterAutospacing="0"/>
        <w:ind w:firstLine="708"/>
        <w:jc w:val="both"/>
      </w:pPr>
      <w:r>
        <w:rPr>
          <w:color w:val="000000"/>
        </w:rPr>
        <w:t xml:space="preserve">Sob o ponto de vista material, na mensagem anexa ao presente Projeto menciona </w:t>
      </w:r>
      <w:r w:rsidR="004F1DB5">
        <w:rPr>
          <w:color w:val="000000"/>
        </w:rPr>
        <w:t>a</w:t>
      </w:r>
      <w:r>
        <w:rPr>
          <w:color w:val="000000"/>
        </w:rPr>
        <w:t xml:space="preserve"> Exm</w:t>
      </w:r>
      <w:r w:rsidR="004F1DB5">
        <w:rPr>
          <w:color w:val="000000"/>
        </w:rPr>
        <w:t>a</w:t>
      </w:r>
      <w:r>
        <w:rPr>
          <w:color w:val="000000"/>
        </w:rPr>
        <w:t xml:space="preserve">. Chefe do Poder Executivo que </w:t>
      </w:r>
      <w:r>
        <w:rPr>
          <w:i/>
          <w:iCs/>
          <w:color w:val="000000"/>
        </w:rPr>
        <w:t>“</w:t>
      </w:r>
      <w:r w:rsidR="004F1DB5">
        <w:rPr>
          <w:i/>
          <w:iCs/>
          <w:color w:val="000000"/>
        </w:rPr>
        <w:t xml:space="preserve">de fato, </w:t>
      </w:r>
      <w:r w:rsidR="00272C3C">
        <w:rPr>
          <w:i/>
          <w:iCs/>
          <w:color w:val="000000"/>
        </w:rPr>
        <w:t>o presente projeto de lei se justifica pela necessidade de atender à população, possibilitando a manutenção do serviço de transporte público urbano de passageiros. As proposições contidas neste projeto de lei complementar não configuram infração ao disposto no art. 14 da Lei Complementar Nacional nº 101, de 4 de maio de 2000 – Lei de Responsabilidade Fiscal, haja vista que o impacto do benefício na receita tributária não comprometerá o alcance das metas fiscais estabelec</w:t>
      </w:r>
      <w:r w:rsidR="0036561F">
        <w:rPr>
          <w:i/>
          <w:iCs/>
          <w:color w:val="000000"/>
        </w:rPr>
        <w:t>idas, assim como pelo incremento de receita decorrente de outras arrecadações tributárias, conforme declaração da Secretaria Municipal de Planejamento Orçamento e Gestão.</w:t>
      </w:r>
      <w:r>
        <w:rPr>
          <w:i/>
          <w:iCs/>
          <w:color w:val="000000"/>
        </w:rPr>
        <w:t>”</w:t>
      </w:r>
    </w:p>
    <w:p w14:paraId="2B574AB2" w14:textId="77777777" w:rsidR="005B1399" w:rsidRDefault="005B1399" w:rsidP="00EB26CE">
      <w:pPr>
        <w:ind w:firstLine="708"/>
        <w:jc w:val="both"/>
        <w:rPr>
          <w:sz w:val="24"/>
        </w:rPr>
      </w:pPr>
    </w:p>
    <w:p w14:paraId="693F4131" w14:textId="74835B10" w:rsidR="00494911" w:rsidRPr="00494911" w:rsidRDefault="00494911" w:rsidP="00494911">
      <w:pPr>
        <w:ind w:firstLine="708"/>
        <w:jc w:val="both"/>
        <w:rPr>
          <w:kern w:val="0"/>
          <w:sz w:val="24"/>
          <w:szCs w:val="24"/>
        </w:rPr>
      </w:pPr>
      <w:bookmarkStart w:id="0" w:name="_Hlk109224095"/>
      <w:r w:rsidRPr="00494911">
        <w:rPr>
          <w:color w:val="000000"/>
          <w:kern w:val="0"/>
          <w:sz w:val="24"/>
          <w:szCs w:val="24"/>
        </w:rPr>
        <w:t>Cumpre-nos ressaltar que é dever do Poder Executivo observar às disposições previstas na Lei de Responsabilidade Fiscal, Lei Complementar 101 de 4 de maio de 2000, que veio assegurar uma gestão financeira correta, visando o equilíbrio das contas públicas e o alcance de ajuste das finanças públicas, em especial ao que dispõe o art. 14 do referido ato normativo.</w:t>
      </w:r>
    </w:p>
    <w:p w14:paraId="3AB4F441" w14:textId="77777777" w:rsidR="00494911" w:rsidRPr="00494911" w:rsidRDefault="00494911" w:rsidP="00494911">
      <w:pPr>
        <w:rPr>
          <w:kern w:val="0"/>
          <w:sz w:val="24"/>
          <w:szCs w:val="24"/>
        </w:rPr>
      </w:pPr>
    </w:p>
    <w:p w14:paraId="4B0B3A54" w14:textId="57108317" w:rsidR="00607E53" w:rsidRPr="00494911" w:rsidRDefault="00494911" w:rsidP="00607E53">
      <w:pPr>
        <w:ind w:firstLine="708"/>
        <w:jc w:val="both"/>
        <w:rPr>
          <w:color w:val="000000"/>
          <w:kern w:val="0"/>
          <w:sz w:val="24"/>
          <w:szCs w:val="24"/>
        </w:rPr>
      </w:pPr>
      <w:r w:rsidRPr="00494911">
        <w:rPr>
          <w:color w:val="000000"/>
          <w:kern w:val="0"/>
          <w:sz w:val="24"/>
          <w:szCs w:val="24"/>
        </w:rPr>
        <w:t xml:space="preserve">Nesses termos, além do mencionado na mensagem supracitada, o Poder Executivo apresentou estimativa de impacto orçamentário com a previsão de redução </w:t>
      </w:r>
      <w:r w:rsidR="0036561F">
        <w:rPr>
          <w:color w:val="000000"/>
          <w:kern w:val="0"/>
          <w:sz w:val="24"/>
          <w:szCs w:val="24"/>
        </w:rPr>
        <w:t>da receita</w:t>
      </w:r>
      <w:r w:rsidR="00607E53">
        <w:rPr>
          <w:color w:val="000000"/>
          <w:kern w:val="0"/>
          <w:sz w:val="24"/>
          <w:szCs w:val="24"/>
        </w:rPr>
        <w:t>, bem como</w:t>
      </w:r>
    </w:p>
    <w:p w14:paraId="35F6AA98" w14:textId="14E07D08" w:rsidR="00494911" w:rsidRPr="00494911" w:rsidRDefault="00494911" w:rsidP="00607E53">
      <w:pPr>
        <w:jc w:val="both"/>
        <w:rPr>
          <w:kern w:val="0"/>
          <w:sz w:val="24"/>
          <w:szCs w:val="24"/>
        </w:rPr>
      </w:pPr>
      <w:r w:rsidRPr="00494911">
        <w:rPr>
          <w:color w:val="000000"/>
          <w:kern w:val="0"/>
          <w:sz w:val="24"/>
          <w:szCs w:val="24"/>
        </w:rPr>
        <w:lastRenderedPageBreak/>
        <w:t>declaração de que, nos termos do art</w:t>
      </w:r>
      <w:r w:rsidR="00E21EF8">
        <w:rPr>
          <w:color w:val="000000"/>
          <w:kern w:val="0"/>
          <w:sz w:val="24"/>
          <w:szCs w:val="24"/>
        </w:rPr>
        <w:t>.</w:t>
      </w:r>
      <w:r w:rsidRPr="00494911">
        <w:rPr>
          <w:color w:val="000000"/>
          <w:kern w:val="0"/>
          <w:sz w:val="24"/>
          <w:szCs w:val="24"/>
        </w:rPr>
        <w:t xml:space="preserve"> 14 da Lei Complementar 101</w:t>
      </w:r>
      <w:r w:rsidR="00607E53">
        <w:rPr>
          <w:color w:val="000000"/>
          <w:kern w:val="0"/>
          <w:sz w:val="24"/>
          <w:szCs w:val="24"/>
        </w:rPr>
        <w:t>,</w:t>
      </w:r>
      <w:r w:rsidRPr="00494911">
        <w:rPr>
          <w:color w:val="000000"/>
          <w:kern w:val="0"/>
          <w:sz w:val="24"/>
          <w:szCs w:val="24"/>
        </w:rPr>
        <w:t xml:space="preserve"> de 4 de maio de 2000, </w:t>
      </w:r>
      <w:r w:rsidR="00607E53">
        <w:rPr>
          <w:color w:val="000000"/>
          <w:kern w:val="0"/>
          <w:sz w:val="24"/>
          <w:szCs w:val="24"/>
        </w:rPr>
        <w:t>a concessão temporária do Imposto Sobre Serviços de Qualquer Natureza (ISSQN) para o serviço de transporte público urbano de passageiros, conforme objeto do projeto de lei, atende aos dispostos na Lei nº 5.162, de 22 de julho de 202</w:t>
      </w:r>
      <w:r w:rsidR="001F06D2">
        <w:rPr>
          <w:color w:val="000000"/>
          <w:kern w:val="0"/>
          <w:sz w:val="24"/>
          <w:szCs w:val="24"/>
        </w:rPr>
        <w:t>1</w:t>
      </w:r>
      <w:r w:rsidR="00607E53">
        <w:rPr>
          <w:color w:val="000000"/>
          <w:kern w:val="0"/>
          <w:sz w:val="24"/>
          <w:szCs w:val="24"/>
        </w:rPr>
        <w:t xml:space="preserve"> (Lei de Diretrizes Orçamentárias) e não afetará as metas de resultados fiscais</w:t>
      </w:r>
      <w:r w:rsidRPr="00494911">
        <w:rPr>
          <w:color w:val="000000"/>
          <w:kern w:val="0"/>
          <w:sz w:val="24"/>
          <w:szCs w:val="24"/>
        </w:rPr>
        <w:t>.</w:t>
      </w:r>
    </w:p>
    <w:bookmarkEnd w:id="0"/>
    <w:p w14:paraId="52FB51D3" w14:textId="77777777" w:rsidR="00494911" w:rsidRPr="00494911" w:rsidRDefault="00494911" w:rsidP="00494911">
      <w:pPr>
        <w:rPr>
          <w:kern w:val="0"/>
          <w:sz w:val="24"/>
          <w:szCs w:val="24"/>
        </w:rPr>
      </w:pPr>
    </w:p>
    <w:p w14:paraId="0E7EE5DF" w14:textId="77777777" w:rsidR="00494911" w:rsidRPr="00494911" w:rsidRDefault="00494911" w:rsidP="00494911">
      <w:pPr>
        <w:ind w:firstLine="709"/>
        <w:jc w:val="both"/>
        <w:rPr>
          <w:kern w:val="0"/>
          <w:sz w:val="24"/>
          <w:szCs w:val="24"/>
        </w:rPr>
      </w:pPr>
      <w:bookmarkStart w:id="1" w:name="_Hlk109224495"/>
      <w:r w:rsidRPr="00494911">
        <w:rPr>
          <w:color w:val="000000"/>
          <w:kern w:val="0"/>
          <w:sz w:val="24"/>
          <w:szCs w:val="24"/>
        </w:rPr>
        <w:t>Entretanto, ainda assim, recomenda-se às Comissões a análise do correto atendimento das determinações constantes na Lei de Responsabilidade Fiscal</w:t>
      </w:r>
      <w:bookmarkEnd w:id="1"/>
      <w:r w:rsidRPr="00494911">
        <w:rPr>
          <w:color w:val="000000"/>
          <w:kern w:val="0"/>
          <w:sz w:val="24"/>
          <w:szCs w:val="24"/>
        </w:rPr>
        <w:t>, bem como o real interesse público da proposição.</w:t>
      </w:r>
    </w:p>
    <w:p w14:paraId="104E41E2" w14:textId="77777777" w:rsidR="005B1399" w:rsidRDefault="005B1399" w:rsidP="00EB26CE">
      <w:pPr>
        <w:jc w:val="both"/>
        <w:rPr>
          <w:sz w:val="24"/>
        </w:rPr>
      </w:pPr>
    </w:p>
    <w:p w14:paraId="0CAF5D80" w14:textId="77777777" w:rsidR="00E21EF8" w:rsidRDefault="001A2B0A" w:rsidP="00E21EF8">
      <w:pPr>
        <w:ind w:firstLine="708"/>
        <w:jc w:val="both"/>
        <w:rPr>
          <w:sz w:val="24"/>
          <w:szCs w:val="24"/>
        </w:rPr>
      </w:pPr>
      <w:r>
        <w:rPr>
          <w:sz w:val="24"/>
        </w:rPr>
        <w:t>Diante</w:t>
      </w:r>
      <w:r w:rsidRPr="008B5EC3">
        <w:rPr>
          <w:sz w:val="24"/>
        </w:rPr>
        <w:t xml:space="preserve"> das considerações apresentadas,</w:t>
      </w:r>
      <w:r w:rsidR="00E21EF8">
        <w:rPr>
          <w:sz w:val="24"/>
        </w:rPr>
        <w:t xml:space="preserve"> </w:t>
      </w:r>
      <w:r w:rsidR="00E21EF8">
        <w:rPr>
          <w:rFonts w:cs="Arial"/>
          <w:sz w:val="24"/>
          <w:szCs w:val="24"/>
        </w:rPr>
        <w:t>desde que cumpridas todas as exigências legais,</w:t>
      </w:r>
      <w:r w:rsidRPr="008B5EC3">
        <w:rPr>
          <w:sz w:val="24"/>
        </w:rPr>
        <w:t xml:space="preserve"> manifestamo-nos pela </w:t>
      </w:r>
      <w:r w:rsidRPr="005554E4">
        <w:rPr>
          <w:b/>
          <w:i/>
          <w:sz w:val="24"/>
        </w:rPr>
        <w:t xml:space="preserve">admissibilidade e legalidade do Projeto de Lei Complementar nº </w:t>
      </w:r>
      <w:r w:rsidR="001E5F39">
        <w:rPr>
          <w:b/>
          <w:i/>
          <w:sz w:val="24"/>
        </w:rPr>
        <w:t>0</w:t>
      </w:r>
      <w:r w:rsidR="00A47685">
        <w:rPr>
          <w:b/>
          <w:i/>
          <w:sz w:val="24"/>
        </w:rPr>
        <w:t>2</w:t>
      </w:r>
      <w:r w:rsidR="00E21EF8">
        <w:rPr>
          <w:b/>
          <w:i/>
          <w:sz w:val="24"/>
        </w:rPr>
        <w:t>0</w:t>
      </w:r>
      <w:r w:rsidRPr="005554E4">
        <w:rPr>
          <w:b/>
          <w:i/>
          <w:sz w:val="24"/>
        </w:rPr>
        <w:t>/20</w:t>
      </w:r>
      <w:r w:rsidR="00E21EF8">
        <w:rPr>
          <w:b/>
          <w:i/>
          <w:sz w:val="24"/>
        </w:rPr>
        <w:t>22</w:t>
      </w:r>
      <w:r w:rsidRPr="00D93122">
        <w:rPr>
          <w:i/>
          <w:sz w:val="24"/>
        </w:rPr>
        <w:t>,</w:t>
      </w:r>
      <w:r w:rsidRPr="008B5EC3">
        <w:rPr>
          <w:sz w:val="24"/>
        </w:rPr>
        <w:t xml:space="preserve"> </w:t>
      </w:r>
      <w:r w:rsidR="00E21EF8" w:rsidRPr="009D6DB0">
        <w:rPr>
          <w:b/>
          <w:i/>
          <w:sz w:val="24"/>
          <w:szCs w:val="24"/>
        </w:rPr>
        <w:t xml:space="preserve">de autoria do Poder Executivo, enviado a esta Casa Legislativa </w:t>
      </w:r>
      <w:r w:rsidR="00E21EF8">
        <w:rPr>
          <w:b/>
          <w:i/>
          <w:sz w:val="24"/>
          <w:szCs w:val="24"/>
        </w:rPr>
        <w:t>pela</w:t>
      </w:r>
      <w:r w:rsidR="00E21EF8">
        <w:rPr>
          <w:rFonts w:cs="Arial"/>
          <w:b/>
          <w:i/>
          <w:sz w:val="24"/>
          <w:szCs w:val="24"/>
        </w:rPr>
        <w:t xml:space="preserve"> Excelentíssima Prefeita de Contagem, Sra. Marília Aparecida Campos.</w:t>
      </w:r>
    </w:p>
    <w:p w14:paraId="25423FBD" w14:textId="3EA2B458" w:rsidR="00D93122" w:rsidRDefault="00D93122" w:rsidP="00EB26CE">
      <w:pPr>
        <w:ind w:firstLine="708"/>
        <w:jc w:val="both"/>
        <w:rPr>
          <w:i/>
          <w:sz w:val="24"/>
        </w:rPr>
      </w:pPr>
    </w:p>
    <w:p w14:paraId="3C971C0A" w14:textId="77777777" w:rsidR="00D93122" w:rsidRPr="00D93122" w:rsidRDefault="00D93122" w:rsidP="00C076AD">
      <w:pPr>
        <w:pStyle w:val="Ttulo2"/>
        <w:spacing w:before="0" w:line="360" w:lineRule="auto"/>
        <w:ind w:left="426" w:firstLine="283"/>
        <w:rPr>
          <w:rFonts w:ascii="Times New Roman" w:eastAsia="Times New Roman" w:hAnsi="Times New Roman" w:cs="Times New Roman"/>
          <w:b w:val="0"/>
          <w:bCs w:val="0"/>
          <w:i/>
          <w:color w:val="auto"/>
          <w:sz w:val="24"/>
          <w:szCs w:val="20"/>
        </w:rPr>
      </w:pPr>
      <w:r w:rsidRPr="00D93122">
        <w:rPr>
          <w:rFonts w:ascii="Times New Roman" w:eastAsia="Times New Roman" w:hAnsi="Times New Roman" w:cs="Times New Roman"/>
          <w:b w:val="0"/>
          <w:bCs w:val="0"/>
          <w:i/>
          <w:color w:val="auto"/>
          <w:sz w:val="24"/>
          <w:szCs w:val="20"/>
        </w:rPr>
        <w:t xml:space="preserve">É o nosso parecer, que submetemos à apreciação de Vossa Senhoria. </w:t>
      </w:r>
    </w:p>
    <w:p w14:paraId="0C1B8314" w14:textId="77777777" w:rsidR="00D93122" w:rsidRPr="004D25DB" w:rsidRDefault="00D93122" w:rsidP="00C076AD">
      <w:pPr>
        <w:pStyle w:val="Ttulo7"/>
        <w:spacing w:line="360" w:lineRule="auto"/>
        <w:rPr>
          <w:sz w:val="24"/>
          <w:szCs w:val="24"/>
        </w:rPr>
      </w:pPr>
    </w:p>
    <w:p w14:paraId="168048C5" w14:textId="4B024028" w:rsidR="00D93122" w:rsidRPr="004D25DB" w:rsidRDefault="00D93122" w:rsidP="00C076AD">
      <w:pPr>
        <w:pStyle w:val="Ttulo7"/>
        <w:spacing w:line="360" w:lineRule="auto"/>
        <w:rPr>
          <w:sz w:val="24"/>
          <w:szCs w:val="24"/>
        </w:rPr>
      </w:pPr>
      <w:r>
        <w:rPr>
          <w:sz w:val="24"/>
          <w:szCs w:val="24"/>
        </w:rPr>
        <w:t xml:space="preserve">      </w:t>
      </w:r>
      <w:r w:rsidRPr="004D25DB">
        <w:rPr>
          <w:sz w:val="24"/>
          <w:szCs w:val="24"/>
        </w:rPr>
        <w:t xml:space="preserve">Contagem, </w:t>
      </w:r>
      <w:r w:rsidR="00E21EF8">
        <w:rPr>
          <w:sz w:val="24"/>
          <w:szCs w:val="24"/>
        </w:rPr>
        <w:t>20</w:t>
      </w:r>
      <w:r w:rsidRPr="004D25DB">
        <w:rPr>
          <w:sz w:val="24"/>
          <w:szCs w:val="24"/>
        </w:rPr>
        <w:t xml:space="preserve"> de </w:t>
      </w:r>
      <w:r w:rsidR="00E21EF8">
        <w:rPr>
          <w:sz w:val="24"/>
          <w:szCs w:val="24"/>
        </w:rPr>
        <w:t>julho</w:t>
      </w:r>
      <w:r w:rsidRPr="004D25DB">
        <w:rPr>
          <w:sz w:val="24"/>
          <w:szCs w:val="24"/>
        </w:rPr>
        <w:t xml:space="preserve"> de 20</w:t>
      </w:r>
      <w:r w:rsidR="00E21EF8">
        <w:rPr>
          <w:sz w:val="24"/>
          <w:szCs w:val="24"/>
        </w:rPr>
        <w:t>22</w:t>
      </w:r>
      <w:r w:rsidRPr="004D25DB">
        <w:rPr>
          <w:sz w:val="24"/>
          <w:szCs w:val="24"/>
        </w:rPr>
        <w:t>.</w:t>
      </w:r>
    </w:p>
    <w:p w14:paraId="582E5879" w14:textId="77777777" w:rsidR="00D93122" w:rsidRPr="004D25DB" w:rsidRDefault="00D93122" w:rsidP="00C076AD">
      <w:pPr>
        <w:rPr>
          <w:sz w:val="24"/>
          <w:szCs w:val="24"/>
        </w:rPr>
      </w:pPr>
    </w:p>
    <w:p w14:paraId="050509AE" w14:textId="7FEA2EAD" w:rsidR="00D93122" w:rsidRPr="004D25DB" w:rsidRDefault="00D93122" w:rsidP="00C076AD">
      <w:pPr>
        <w:ind w:left="2124"/>
        <w:rPr>
          <w:b/>
          <w:sz w:val="24"/>
          <w:szCs w:val="24"/>
        </w:rPr>
      </w:pPr>
      <w:r w:rsidRPr="004D25DB">
        <w:rPr>
          <w:sz w:val="24"/>
          <w:szCs w:val="24"/>
        </w:rPr>
        <w:t xml:space="preserve">                  </w:t>
      </w:r>
      <w:r w:rsidR="00E21EF8">
        <w:rPr>
          <w:noProof/>
        </w:rPr>
        <w:drawing>
          <wp:inline distT="0" distB="0" distL="0" distR="0" wp14:anchorId="560DA273" wp14:editId="641DFC81">
            <wp:extent cx="2295525" cy="438150"/>
            <wp:effectExtent l="0" t="0" r="0" b="0"/>
            <wp:docPr id="2" name="Imagem 2" descr="assinatura s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assinatura soc"/>
                    <pic:cNvPicPr>
                      <a:picLocks noChangeAspect="1" noChangeArrowheads="1"/>
                    </pic:cNvPicPr>
                  </pic:nvPicPr>
                  <pic:blipFill>
                    <a:blip r:embed="rId6"/>
                    <a:srcRect t="7223" b="26269"/>
                    <a:stretch>
                      <a:fillRect/>
                    </a:stretch>
                  </pic:blipFill>
                  <pic:spPr bwMode="auto">
                    <a:xfrm>
                      <a:off x="0" y="0"/>
                      <a:ext cx="2295525" cy="438150"/>
                    </a:xfrm>
                    <a:prstGeom prst="rect">
                      <a:avLst/>
                    </a:prstGeom>
                  </pic:spPr>
                </pic:pic>
              </a:graphicData>
            </a:graphic>
          </wp:inline>
        </w:drawing>
      </w:r>
    </w:p>
    <w:p w14:paraId="2D510505" w14:textId="77777777" w:rsidR="00D93122" w:rsidRPr="00A03937" w:rsidRDefault="00D93122" w:rsidP="00C076AD">
      <w:pPr>
        <w:rPr>
          <w:b/>
          <w:sz w:val="24"/>
          <w:szCs w:val="24"/>
        </w:rPr>
      </w:pPr>
      <w:r w:rsidRPr="004D25DB">
        <w:rPr>
          <w:sz w:val="24"/>
          <w:szCs w:val="24"/>
        </w:rPr>
        <w:t xml:space="preserve">                                                                </w:t>
      </w:r>
      <w:r w:rsidRPr="00A03937">
        <w:rPr>
          <w:b/>
          <w:sz w:val="24"/>
          <w:szCs w:val="24"/>
        </w:rPr>
        <w:t>Procurador Geral</w:t>
      </w:r>
    </w:p>
    <w:p w14:paraId="183A5C1F" w14:textId="77777777" w:rsidR="001A2B0A" w:rsidRDefault="001A2B0A" w:rsidP="00D93122">
      <w:pPr>
        <w:ind w:firstLine="708"/>
        <w:jc w:val="both"/>
      </w:pPr>
    </w:p>
    <w:p w14:paraId="11ECD9CC" w14:textId="77777777" w:rsidR="00D144FC" w:rsidRDefault="00D144FC"/>
    <w:sectPr w:rsidR="00D144FC" w:rsidSect="00B628A2">
      <w:headerReference w:type="default" r:id="rId7"/>
      <w:footerReference w:type="default" r:id="rId8"/>
      <w:pgSz w:w="11906" w:h="16838"/>
      <w:pgMar w:top="851"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E54B1" w14:textId="77777777" w:rsidR="009C5CD8" w:rsidRDefault="009C5CD8" w:rsidP="00B628A2">
      <w:r>
        <w:separator/>
      </w:r>
    </w:p>
  </w:endnote>
  <w:endnote w:type="continuationSeparator" w:id="0">
    <w:p w14:paraId="6ACA532C" w14:textId="77777777" w:rsidR="009C5CD8" w:rsidRDefault="009C5CD8" w:rsidP="00B6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1313"/>
      <w:docPartObj>
        <w:docPartGallery w:val="Page Numbers (Bottom of Page)"/>
        <w:docPartUnique/>
      </w:docPartObj>
    </w:sdtPr>
    <w:sdtEndPr/>
    <w:sdtContent>
      <w:p w14:paraId="35A877E4" w14:textId="77777777" w:rsidR="00B17258" w:rsidRDefault="001F06D2">
        <w:pPr>
          <w:pStyle w:val="Rodap"/>
          <w:jc w:val="right"/>
        </w:pPr>
        <w:r>
          <w:fldChar w:fldCharType="begin"/>
        </w:r>
        <w:r>
          <w:instrText xml:space="preserve"> PAGE   \* MERGEFORMAT </w:instrText>
        </w:r>
        <w:r>
          <w:fldChar w:fldCharType="separate"/>
        </w:r>
        <w:r w:rsidR="00C076AD">
          <w:rPr>
            <w:noProof/>
          </w:rPr>
          <w:t>4</w:t>
        </w:r>
        <w:r>
          <w:rPr>
            <w:noProof/>
          </w:rPr>
          <w:fldChar w:fldCharType="end"/>
        </w:r>
      </w:p>
    </w:sdtContent>
  </w:sdt>
  <w:p w14:paraId="1B0C3002" w14:textId="5F70E384" w:rsidR="00B17258" w:rsidRPr="00C076AD" w:rsidRDefault="00B17258" w:rsidP="00C076AD">
    <w:pPr>
      <w:spacing w:line="360" w:lineRule="auto"/>
      <w:jc w:val="both"/>
      <w:rPr>
        <w:b/>
        <w:color w:val="808080" w:themeColor="background1" w:themeShade="80"/>
        <w:sz w:val="26"/>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C13FE" w14:textId="77777777" w:rsidR="009C5CD8" w:rsidRDefault="009C5CD8" w:rsidP="00B628A2">
      <w:r>
        <w:separator/>
      </w:r>
    </w:p>
  </w:footnote>
  <w:footnote w:type="continuationSeparator" w:id="0">
    <w:p w14:paraId="4C0BC445" w14:textId="77777777" w:rsidR="009C5CD8" w:rsidRDefault="009C5CD8" w:rsidP="00B62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7205"/>
    </w:tblGrid>
    <w:tr w:rsidR="00B17258" w14:paraId="015EFABC" w14:textId="77777777" w:rsidTr="002940B6">
      <w:tc>
        <w:tcPr>
          <w:tcW w:w="1866" w:type="dxa"/>
        </w:tcPr>
        <w:p w14:paraId="79F95ED3" w14:textId="77777777" w:rsidR="00B17258" w:rsidRDefault="00B17258">
          <w:pPr>
            <w:pStyle w:val="Cabealho"/>
          </w:pPr>
          <w:r>
            <w:rPr>
              <w:noProof/>
              <w:lang w:eastAsia="pt-BR"/>
            </w:rPr>
            <w:drawing>
              <wp:inline distT="0" distB="0" distL="0" distR="0" wp14:anchorId="3BCB9790" wp14:editId="0C824243">
                <wp:extent cx="1027435" cy="1244338"/>
                <wp:effectExtent l="19050" t="0" r="1265" b="0"/>
                <wp:docPr id="1" name="Imagem 0" descr="Contagem_bandei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gem_bandeira.png"/>
                        <pic:cNvPicPr/>
                      </pic:nvPicPr>
                      <pic:blipFill>
                        <a:blip r:embed="rId1"/>
                        <a:stretch>
                          <a:fillRect/>
                        </a:stretch>
                      </pic:blipFill>
                      <pic:spPr>
                        <a:xfrm>
                          <a:off x="0" y="0"/>
                          <a:ext cx="1027258" cy="1244124"/>
                        </a:xfrm>
                        <a:prstGeom prst="rect">
                          <a:avLst/>
                        </a:prstGeom>
                      </pic:spPr>
                    </pic:pic>
                  </a:graphicData>
                </a:graphic>
              </wp:inline>
            </w:drawing>
          </w:r>
        </w:p>
      </w:tc>
      <w:tc>
        <w:tcPr>
          <w:tcW w:w="7345" w:type="dxa"/>
        </w:tcPr>
        <w:p w14:paraId="6EB7CD65" w14:textId="77777777" w:rsidR="00B17258" w:rsidRDefault="00B17258" w:rsidP="00B628A2">
          <w:pPr>
            <w:pStyle w:val="Cabealho"/>
            <w:jc w:val="center"/>
          </w:pPr>
        </w:p>
        <w:p w14:paraId="1C4F8891" w14:textId="77777777" w:rsidR="00B17258" w:rsidRDefault="00B17258" w:rsidP="00B628A2">
          <w:pPr>
            <w:pStyle w:val="Cabealho"/>
            <w:jc w:val="center"/>
          </w:pPr>
        </w:p>
        <w:p w14:paraId="3236D34E" w14:textId="77777777" w:rsidR="00B17258" w:rsidRPr="00B628A2" w:rsidRDefault="00B17258" w:rsidP="00B628A2">
          <w:pPr>
            <w:pStyle w:val="Cabealho"/>
            <w:jc w:val="center"/>
            <w:rPr>
              <w:sz w:val="8"/>
            </w:rPr>
          </w:pPr>
        </w:p>
        <w:p w14:paraId="7C552CC0" w14:textId="77777777" w:rsidR="00B17258" w:rsidRDefault="00B17258" w:rsidP="00B628A2">
          <w:pPr>
            <w:pStyle w:val="Cabealho"/>
            <w:jc w:val="center"/>
            <w:rPr>
              <w:rFonts w:ascii="Arial Black" w:hAnsi="Arial Black"/>
              <w:sz w:val="34"/>
            </w:rPr>
          </w:pPr>
          <w:r w:rsidRPr="00B628A2">
            <w:rPr>
              <w:rFonts w:ascii="Arial Black" w:hAnsi="Arial Black"/>
              <w:sz w:val="34"/>
            </w:rPr>
            <w:t>CÂMARA MUNICIPAL DE CONTAGEM</w:t>
          </w:r>
        </w:p>
        <w:p w14:paraId="6AA2C4A6" w14:textId="77777777" w:rsidR="00B17258" w:rsidRPr="00B628A2" w:rsidRDefault="00B17258" w:rsidP="00B628A2">
          <w:pPr>
            <w:pStyle w:val="Cabealho"/>
            <w:jc w:val="center"/>
            <w:rPr>
              <w:rFonts w:ascii="Arial" w:hAnsi="Arial" w:cs="Arial"/>
            </w:rPr>
          </w:pPr>
          <w:r>
            <w:rPr>
              <w:rFonts w:ascii="Arial" w:hAnsi="Arial" w:cs="Arial"/>
            </w:rPr>
            <w:t>ESTADO DE MINAS GERAIS</w:t>
          </w:r>
        </w:p>
      </w:tc>
    </w:tr>
  </w:tbl>
  <w:p w14:paraId="33C5BD63" w14:textId="77777777" w:rsidR="00B17258" w:rsidRDefault="00B1725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61"/>
    <w:rsid w:val="00021E87"/>
    <w:rsid w:val="00030BA7"/>
    <w:rsid w:val="000A2B61"/>
    <w:rsid w:val="0012589A"/>
    <w:rsid w:val="001538D2"/>
    <w:rsid w:val="001A2B0A"/>
    <w:rsid w:val="001E5F39"/>
    <w:rsid w:val="001F06D2"/>
    <w:rsid w:val="002572AB"/>
    <w:rsid w:val="00272C3C"/>
    <w:rsid w:val="002940B6"/>
    <w:rsid w:val="00295E4A"/>
    <w:rsid w:val="002A11B8"/>
    <w:rsid w:val="002E1D1E"/>
    <w:rsid w:val="0036561F"/>
    <w:rsid w:val="00392EEC"/>
    <w:rsid w:val="003E49DC"/>
    <w:rsid w:val="004178D6"/>
    <w:rsid w:val="00452701"/>
    <w:rsid w:val="004860B7"/>
    <w:rsid w:val="00494911"/>
    <w:rsid w:val="004B6A90"/>
    <w:rsid w:val="004F1DB5"/>
    <w:rsid w:val="00552E83"/>
    <w:rsid w:val="00567050"/>
    <w:rsid w:val="00577626"/>
    <w:rsid w:val="005B1399"/>
    <w:rsid w:val="005D141E"/>
    <w:rsid w:val="005D57E5"/>
    <w:rsid w:val="00607E53"/>
    <w:rsid w:val="00622542"/>
    <w:rsid w:val="0066308A"/>
    <w:rsid w:val="00676422"/>
    <w:rsid w:val="006A1943"/>
    <w:rsid w:val="006B4C25"/>
    <w:rsid w:val="00702F24"/>
    <w:rsid w:val="00720388"/>
    <w:rsid w:val="00724618"/>
    <w:rsid w:val="007C397A"/>
    <w:rsid w:val="007C4DED"/>
    <w:rsid w:val="0086108F"/>
    <w:rsid w:val="00897458"/>
    <w:rsid w:val="008C0600"/>
    <w:rsid w:val="008C5A49"/>
    <w:rsid w:val="008E7770"/>
    <w:rsid w:val="00924636"/>
    <w:rsid w:val="0097725E"/>
    <w:rsid w:val="009B613C"/>
    <w:rsid w:val="009C5CD8"/>
    <w:rsid w:val="00A47685"/>
    <w:rsid w:val="00A50405"/>
    <w:rsid w:val="00A81C31"/>
    <w:rsid w:val="00AB4E01"/>
    <w:rsid w:val="00B11C10"/>
    <w:rsid w:val="00B17258"/>
    <w:rsid w:val="00B20FE0"/>
    <w:rsid w:val="00B628A2"/>
    <w:rsid w:val="00BD6BAD"/>
    <w:rsid w:val="00C076AD"/>
    <w:rsid w:val="00C241AD"/>
    <w:rsid w:val="00D144FC"/>
    <w:rsid w:val="00D4751D"/>
    <w:rsid w:val="00D93122"/>
    <w:rsid w:val="00D944E7"/>
    <w:rsid w:val="00DA4BFB"/>
    <w:rsid w:val="00DD3BFC"/>
    <w:rsid w:val="00E06B0B"/>
    <w:rsid w:val="00E21EF8"/>
    <w:rsid w:val="00E468A9"/>
    <w:rsid w:val="00E55042"/>
    <w:rsid w:val="00E85209"/>
    <w:rsid w:val="00E9045E"/>
    <w:rsid w:val="00E9134A"/>
    <w:rsid w:val="00EB26CE"/>
    <w:rsid w:val="00EC41D7"/>
    <w:rsid w:val="00F6124E"/>
    <w:rsid w:val="00F708CA"/>
    <w:rsid w:val="00F9765B"/>
    <w:rsid w:val="00FF1A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0DECB98F"/>
  <w15:docId w15:val="{BFEA9003-B447-4E6E-AF5F-D24FFC39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B0A"/>
    <w:rPr>
      <w:rFonts w:ascii="Times New Roman" w:eastAsia="Times New Roman" w:hAnsi="Times New Roman" w:cs="Times New Roman"/>
      <w:kern w:val="28"/>
      <w:sz w:val="28"/>
      <w:szCs w:val="20"/>
      <w:lang w:eastAsia="pt-BR"/>
    </w:rPr>
  </w:style>
  <w:style w:type="paragraph" w:styleId="Ttulo1">
    <w:name w:val="heading 1"/>
    <w:basedOn w:val="Normal"/>
    <w:next w:val="Normal"/>
    <w:link w:val="Ttulo1Char"/>
    <w:qFormat/>
    <w:rsid w:val="001A2B0A"/>
    <w:pPr>
      <w:keepNext/>
      <w:jc w:val="center"/>
      <w:outlineLvl w:val="0"/>
    </w:pPr>
    <w:rPr>
      <w:b/>
      <w:sz w:val="26"/>
    </w:rPr>
  </w:style>
  <w:style w:type="paragraph" w:styleId="Ttulo2">
    <w:name w:val="heading 2"/>
    <w:basedOn w:val="Normal"/>
    <w:next w:val="Normal"/>
    <w:link w:val="Ttulo2Char"/>
    <w:uiPriority w:val="9"/>
    <w:semiHidden/>
    <w:unhideWhenUsed/>
    <w:qFormat/>
    <w:rsid w:val="00D931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har"/>
    <w:qFormat/>
    <w:rsid w:val="001A2B0A"/>
    <w:pPr>
      <w:keepNext/>
      <w:jc w:val="center"/>
      <w:outlineLvl w:val="6"/>
    </w:pPr>
    <w:rPr>
      <w:i/>
      <w:kern w:val="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628A2"/>
    <w:pPr>
      <w:tabs>
        <w:tab w:val="center" w:pos="4252"/>
        <w:tab w:val="right" w:pos="8504"/>
      </w:tabs>
    </w:pPr>
    <w:rPr>
      <w:rFonts w:asciiTheme="minorHAnsi" w:eastAsiaTheme="minorHAnsi" w:hAnsiTheme="minorHAnsi" w:cstheme="minorBidi"/>
      <w:kern w:val="0"/>
      <w:sz w:val="22"/>
      <w:szCs w:val="22"/>
      <w:lang w:eastAsia="en-US"/>
    </w:rPr>
  </w:style>
  <w:style w:type="character" w:customStyle="1" w:styleId="CabealhoChar">
    <w:name w:val="Cabeçalho Char"/>
    <w:basedOn w:val="Fontepargpadro"/>
    <w:link w:val="Cabealho"/>
    <w:uiPriority w:val="99"/>
    <w:rsid w:val="00B628A2"/>
  </w:style>
  <w:style w:type="paragraph" w:styleId="Rodap">
    <w:name w:val="footer"/>
    <w:basedOn w:val="Normal"/>
    <w:link w:val="RodapChar"/>
    <w:uiPriority w:val="99"/>
    <w:unhideWhenUsed/>
    <w:rsid w:val="00B628A2"/>
    <w:pPr>
      <w:tabs>
        <w:tab w:val="center" w:pos="4252"/>
        <w:tab w:val="right" w:pos="8504"/>
      </w:tabs>
    </w:pPr>
    <w:rPr>
      <w:rFonts w:asciiTheme="minorHAnsi" w:eastAsiaTheme="minorHAnsi" w:hAnsiTheme="minorHAnsi" w:cstheme="minorBidi"/>
      <w:kern w:val="0"/>
      <w:sz w:val="22"/>
      <w:szCs w:val="22"/>
      <w:lang w:eastAsia="en-US"/>
    </w:rPr>
  </w:style>
  <w:style w:type="character" w:customStyle="1" w:styleId="RodapChar">
    <w:name w:val="Rodapé Char"/>
    <w:basedOn w:val="Fontepargpadro"/>
    <w:link w:val="Rodap"/>
    <w:uiPriority w:val="99"/>
    <w:rsid w:val="00B628A2"/>
  </w:style>
  <w:style w:type="paragraph" w:styleId="Textodebalo">
    <w:name w:val="Balloon Text"/>
    <w:basedOn w:val="Normal"/>
    <w:link w:val="TextodebaloChar"/>
    <w:uiPriority w:val="99"/>
    <w:semiHidden/>
    <w:unhideWhenUsed/>
    <w:rsid w:val="00B628A2"/>
    <w:rPr>
      <w:rFonts w:ascii="Tahoma" w:eastAsiaTheme="minorHAnsi" w:hAnsi="Tahoma" w:cs="Tahoma"/>
      <w:kern w:val="0"/>
      <w:sz w:val="16"/>
      <w:szCs w:val="16"/>
      <w:lang w:eastAsia="en-US"/>
    </w:rPr>
  </w:style>
  <w:style w:type="character" w:customStyle="1" w:styleId="TextodebaloChar">
    <w:name w:val="Texto de balão Char"/>
    <w:basedOn w:val="Fontepargpadro"/>
    <w:link w:val="Textodebalo"/>
    <w:uiPriority w:val="99"/>
    <w:semiHidden/>
    <w:rsid w:val="00B628A2"/>
    <w:rPr>
      <w:rFonts w:ascii="Tahoma" w:hAnsi="Tahoma" w:cs="Tahoma"/>
      <w:sz w:val="16"/>
      <w:szCs w:val="16"/>
    </w:rPr>
  </w:style>
  <w:style w:type="table" w:styleId="Tabelacomgrade">
    <w:name w:val="Table Grid"/>
    <w:basedOn w:val="Tabelanormal"/>
    <w:uiPriority w:val="59"/>
    <w:rsid w:val="00B628A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har">
    <w:name w:val="Título 1 Char"/>
    <w:basedOn w:val="Fontepargpadro"/>
    <w:link w:val="Ttulo1"/>
    <w:rsid w:val="001A2B0A"/>
    <w:rPr>
      <w:rFonts w:ascii="Times New Roman" w:eastAsia="Times New Roman" w:hAnsi="Times New Roman" w:cs="Times New Roman"/>
      <w:b/>
      <w:kern w:val="28"/>
      <w:sz w:val="26"/>
      <w:szCs w:val="20"/>
      <w:lang w:eastAsia="pt-BR"/>
    </w:rPr>
  </w:style>
  <w:style w:type="character" w:customStyle="1" w:styleId="Ttulo7Char">
    <w:name w:val="Título 7 Char"/>
    <w:basedOn w:val="Fontepargpadro"/>
    <w:link w:val="Ttulo7"/>
    <w:rsid w:val="001A2B0A"/>
    <w:rPr>
      <w:rFonts w:ascii="Times New Roman" w:eastAsia="Times New Roman" w:hAnsi="Times New Roman" w:cs="Times New Roman"/>
      <w:i/>
      <w:sz w:val="28"/>
      <w:szCs w:val="20"/>
      <w:lang w:eastAsia="pt-BR"/>
    </w:rPr>
  </w:style>
  <w:style w:type="paragraph" w:styleId="Recuodecorpodetexto">
    <w:name w:val="Body Text Indent"/>
    <w:basedOn w:val="Normal"/>
    <w:link w:val="RecuodecorpodetextoChar"/>
    <w:semiHidden/>
    <w:rsid w:val="001A2B0A"/>
    <w:pPr>
      <w:ind w:firstLine="3543"/>
      <w:jc w:val="both"/>
    </w:pPr>
  </w:style>
  <w:style w:type="character" w:customStyle="1" w:styleId="RecuodecorpodetextoChar">
    <w:name w:val="Recuo de corpo de texto Char"/>
    <w:basedOn w:val="Fontepargpadro"/>
    <w:link w:val="Recuodecorpodetexto"/>
    <w:semiHidden/>
    <w:rsid w:val="001A2B0A"/>
    <w:rPr>
      <w:rFonts w:ascii="Times New Roman" w:eastAsia="Times New Roman" w:hAnsi="Times New Roman" w:cs="Times New Roman"/>
      <w:kern w:val="28"/>
      <w:sz w:val="28"/>
      <w:szCs w:val="20"/>
      <w:lang w:eastAsia="pt-BR"/>
    </w:rPr>
  </w:style>
  <w:style w:type="character" w:customStyle="1" w:styleId="Ttulo2Char">
    <w:name w:val="Título 2 Char"/>
    <w:basedOn w:val="Fontepargpadro"/>
    <w:link w:val="Ttulo2"/>
    <w:uiPriority w:val="9"/>
    <w:semiHidden/>
    <w:rsid w:val="00D93122"/>
    <w:rPr>
      <w:rFonts w:asciiTheme="majorHAnsi" w:eastAsiaTheme="majorEastAsia" w:hAnsiTheme="majorHAnsi" w:cstheme="majorBidi"/>
      <w:b/>
      <w:bCs/>
      <w:color w:val="4F81BD" w:themeColor="accent1"/>
      <w:kern w:val="28"/>
      <w:sz w:val="26"/>
      <w:szCs w:val="26"/>
      <w:lang w:eastAsia="pt-BR"/>
    </w:rPr>
  </w:style>
  <w:style w:type="paragraph" w:styleId="NormalWeb">
    <w:name w:val="Normal (Web)"/>
    <w:basedOn w:val="Normal"/>
    <w:uiPriority w:val="99"/>
    <w:semiHidden/>
    <w:unhideWhenUsed/>
    <w:rsid w:val="005B1399"/>
    <w:pPr>
      <w:spacing w:before="100" w:beforeAutospacing="1" w:after="100" w:afterAutospacing="1"/>
    </w:pPr>
    <w:rPr>
      <w:kern w:val="0"/>
      <w:sz w:val="24"/>
      <w:szCs w:val="24"/>
    </w:rPr>
  </w:style>
  <w:style w:type="character" w:customStyle="1" w:styleId="apple-converted-space">
    <w:name w:val="apple-converted-space"/>
    <w:basedOn w:val="Fontepargpadro"/>
    <w:rsid w:val="005B1399"/>
  </w:style>
  <w:style w:type="character" w:styleId="Hyperlink">
    <w:name w:val="Hyperlink"/>
    <w:basedOn w:val="Fontepargpadro"/>
    <w:uiPriority w:val="99"/>
    <w:semiHidden/>
    <w:unhideWhenUsed/>
    <w:rsid w:val="005B1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18461">
      <w:bodyDiv w:val="1"/>
      <w:marLeft w:val="0"/>
      <w:marRight w:val="0"/>
      <w:marTop w:val="0"/>
      <w:marBottom w:val="0"/>
      <w:divBdr>
        <w:top w:val="none" w:sz="0" w:space="0" w:color="auto"/>
        <w:left w:val="none" w:sz="0" w:space="0" w:color="auto"/>
        <w:bottom w:val="none" w:sz="0" w:space="0" w:color="auto"/>
        <w:right w:val="none" w:sz="0" w:space="0" w:color="auto"/>
      </w:divBdr>
    </w:div>
    <w:div w:id="1376394746">
      <w:bodyDiv w:val="1"/>
      <w:marLeft w:val="0"/>
      <w:marRight w:val="0"/>
      <w:marTop w:val="0"/>
      <w:marBottom w:val="0"/>
      <w:divBdr>
        <w:top w:val="none" w:sz="0" w:space="0" w:color="auto"/>
        <w:left w:val="none" w:sz="0" w:space="0" w:color="auto"/>
        <w:bottom w:val="none" w:sz="0" w:space="0" w:color="auto"/>
        <w:right w:val="none" w:sz="0" w:space="0" w:color="auto"/>
      </w:divBdr>
    </w:div>
    <w:div w:id="1653949980">
      <w:bodyDiv w:val="1"/>
      <w:marLeft w:val="0"/>
      <w:marRight w:val="0"/>
      <w:marTop w:val="0"/>
      <w:marBottom w:val="0"/>
      <w:divBdr>
        <w:top w:val="none" w:sz="0" w:space="0" w:color="auto"/>
        <w:left w:val="none" w:sz="0" w:space="0" w:color="auto"/>
        <w:bottom w:val="none" w:sz="0" w:space="0" w:color="auto"/>
        <w:right w:val="none" w:sz="0" w:space="0" w:color="auto"/>
      </w:divBdr>
    </w:div>
    <w:div w:id="174695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acarolina\Desktop\Papel%20timbrado%20da%20C&#226;mara%20Contagem%20(sem%20end.).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timbrado da Câmara Contagem (sem end.)</Template>
  <TotalTime>56</TotalTime>
  <Pages>3</Pages>
  <Words>776</Words>
  <Characters>4193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cmc</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anacarolina</dc:creator>
  <cp:lastModifiedBy>Tatiana Correa</cp:lastModifiedBy>
  <cp:revision>5</cp:revision>
  <cp:lastPrinted>2017-02-10T20:01:00Z</cp:lastPrinted>
  <dcterms:created xsi:type="dcterms:W3CDTF">2022-07-20T17:51:00Z</dcterms:created>
  <dcterms:modified xsi:type="dcterms:W3CDTF">2022-07-20T19:06:00Z</dcterms:modified>
</cp:coreProperties>
</file>